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2AEF1" w14:textId="249FB040" w:rsidR="001333EB" w:rsidRDefault="0069570A">
      <w:pPr>
        <w:pStyle w:val="Nagwek1"/>
      </w:pPr>
      <w:r>
        <w:rPr>
          <w:noProof/>
        </w:rPr>
        <w:drawing>
          <wp:anchor distT="0" distB="0" distL="114300" distR="114300" simplePos="0" relativeHeight="251699200" behindDoc="0" locked="0" layoutInCell="1" allowOverlap="1" wp14:anchorId="7A9E061C" wp14:editId="3942F355">
            <wp:simplePos x="0" y="0"/>
            <wp:positionH relativeFrom="margin">
              <wp:posOffset>928773</wp:posOffset>
            </wp:positionH>
            <wp:positionV relativeFrom="paragraph">
              <wp:posOffset>4569</wp:posOffset>
            </wp:positionV>
            <wp:extent cx="910590" cy="473710"/>
            <wp:effectExtent l="0" t="0" r="3810" b="2540"/>
            <wp:wrapSquare wrapText="bothSides"/>
            <wp:docPr id="587624945" name="Obraz 1" descr="Obraz zawierający tekst, Przekąska, jedzenie, piekar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24945" name="Obraz 1" descr="Obraz zawierający tekst, Przekąska, jedzenie, piekarnia&#10;&#10;Zawartość wygenerowana przez AI może być niepopraw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0590" cy="473710"/>
                    </a:xfrm>
                    <a:prstGeom prst="rect">
                      <a:avLst/>
                    </a:prstGeom>
                    <a:noFill/>
                  </pic:spPr>
                </pic:pic>
              </a:graphicData>
            </a:graphic>
            <wp14:sizeRelH relativeFrom="page">
              <wp14:pctWidth>0</wp14:pctWidth>
            </wp14:sizeRelH>
            <wp14:sizeRelV relativeFrom="page">
              <wp14:pctHeight>0</wp14:pctHeight>
            </wp14:sizeRelV>
          </wp:anchor>
        </w:drawing>
      </w:r>
      <w:r w:rsidRPr="0025000A">
        <w:rPr>
          <w:noProof/>
        </w:rPr>
        <w:drawing>
          <wp:anchor distT="0" distB="0" distL="114300" distR="114300" simplePos="0" relativeHeight="251657216" behindDoc="0" locked="0" layoutInCell="1" allowOverlap="1" wp14:anchorId="16147DF2" wp14:editId="125ED50D">
            <wp:simplePos x="0" y="0"/>
            <wp:positionH relativeFrom="margin">
              <wp:posOffset>27336</wp:posOffset>
            </wp:positionH>
            <wp:positionV relativeFrom="paragraph">
              <wp:posOffset>279</wp:posOffset>
            </wp:positionV>
            <wp:extent cx="835660" cy="472440"/>
            <wp:effectExtent l="0" t="0" r="2540" b="3810"/>
            <wp:wrapSquare wrapText="bothSides"/>
            <wp:docPr id="1026" name="Picture 2" descr="How to Choose the Right Eco-Friendly Packaging for Bakery Items – EQUO">
              <a:extLst xmlns:a="http://schemas.openxmlformats.org/drawingml/2006/main">
                <a:ext uri="{FF2B5EF4-FFF2-40B4-BE49-F238E27FC236}">
                  <a16:creationId xmlns:a16="http://schemas.microsoft.com/office/drawing/2014/main" id="{2E58E28B-5C28-7886-6FE4-85027D0B2F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ow to Choose the Right Eco-Friendly Packaging for Bakery Items – EQUO">
                      <a:extLst>
                        <a:ext uri="{FF2B5EF4-FFF2-40B4-BE49-F238E27FC236}">
                          <a16:creationId xmlns:a16="http://schemas.microsoft.com/office/drawing/2014/main" id="{2E58E28B-5C28-7886-6FE4-85027D0B2F20}"/>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5660" cy="472440"/>
                    </a:xfrm>
                    <a:prstGeom prst="rect">
                      <a:avLst/>
                    </a:prstGeom>
                    <a:noFill/>
                  </pic:spPr>
                </pic:pic>
              </a:graphicData>
            </a:graphic>
            <wp14:sizeRelH relativeFrom="page">
              <wp14:pctWidth>0</wp14:pctWidth>
            </wp14:sizeRelH>
            <wp14:sizeRelV relativeFrom="page">
              <wp14:pctHeight>0</wp14:pctHeight>
            </wp14:sizeRelV>
          </wp:anchor>
        </w:drawing>
      </w:r>
      <w:r w:rsidR="000F79F4">
        <w:t xml:space="preserve">CASE STUDY </w:t>
      </w:r>
      <w:r w:rsidR="002D5F87">
        <w:t>#</w:t>
      </w:r>
      <w:r w:rsidR="000F79F4">
        <w:t xml:space="preserve">1: </w:t>
      </w:r>
      <w:r w:rsidR="000F79F4" w:rsidRPr="008B0D0A">
        <w:t>ECOBAKERY</w:t>
      </w:r>
      <w:r w:rsidR="00C7119B">
        <w:tab/>
      </w:r>
      <w:r w:rsidR="00B13273">
        <w:t>Resilience Strategy</w:t>
      </w:r>
    </w:p>
    <w:p w14:paraId="4299C9F5" w14:textId="19DDCEFE" w:rsidR="00766675" w:rsidRPr="00766675" w:rsidRDefault="00766675" w:rsidP="00C7119B"/>
    <w:tbl>
      <w:tblPr>
        <w:tblStyle w:val="Zwykatabela2"/>
        <w:tblW w:w="0" w:type="auto"/>
        <w:tblLook w:val="04A0" w:firstRow="1" w:lastRow="0" w:firstColumn="1" w:lastColumn="0" w:noHBand="0" w:noVBand="1"/>
      </w:tblPr>
      <w:tblGrid>
        <w:gridCol w:w="1706"/>
        <w:gridCol w:w="1257"/>
        <w:gridCol w:w="1236"/>
        <w:gridCol w:w="1913"/>
        <w:gridCol w:w="2465"/>
        <w:gridCol w:w="1640"/>
        <w:gridCol w:w="1714"/>
        <w:gridCol w:w="1749"/>
      </w:tblGrid>
      <w:tr w:rsidR="00DD0317" w14:paraId="54332DF4" w14:textId="77777777" w:rsidTr="008B1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7E0F02" w14:textId="50527E1E" w:rsidR="005A474F" w:rsidRDefault="005A474F">
            <w:r>
              <w:t>Risk</w:t>
            </w:r>
          </w:p>
        </w:tc>
        <w:tc>
          <w:tcPr>
            <w:tcW w:w="0" w:type="auto"/>
          </w:tcPr>
          <w:p w14:paraId="1E07F056" w14:textId="5368575F" w:rsidR="005A474F" w:rsidRDefault="005A474F">
            <w:pPr>
              <w:cnfStyle w:val="100000000000" w:firstRow="1" w:lastRow="0" w:firstColumn="0" w:lastColumn="0" w:oddVBand="0" w:evenVBand="0" w:oddHBand="0" w:evenHBand="0" w:firstRowFirstColumn="0" w:firstRowLastColumn="0" w:lastRowFirstColumn="0" w:lastRowLastColumn="0"/>
            </w:pPr>
            <w:r>
              <w:t>Risk Probability</w:t>
            </w:r>
          </w:p>
        </w:tc>
        <w:tc>
          <w:tcPr>
            <w:tcW w:w="0" w:type="auto"/>
          </w:tcPr>
          <w:p w14:paraId="1F13AD71" w14:textId="44D5A352" w:rsidR="005A474F" w:rsidRDefault="005A474F">
            <w:pPr>
              <w:cnfStyle w:val="100000000000" w:firstRow="1" w:lastRow="0" w:firstColumn="0" w:lastColumn="0" w:oddVBand="0" w:evenVBand="0" w:oddHBand="0" w:evenHBand="0" w:firstRowFirstColumn="0" w:firstRowLastColumn="0" w:lastRowFirstColumn="0" w:lastRowLastColumn="0"/>
            </w:pPr>
            <w:r>
              <w:t>Risk Impact</w:t>
            </w:r>
          </w:p>
        </w:tc>
        <w:tc>
          <w:tcPr>
            <w:tcW w:w="0" w:type="auto"/>
          </w:tcPr>
          <w:p w14:paraId="6D128B70" w14:textId="46A7667D" w:rsidR="005A474F" w:rsidRDefault="005A474F">
            <w:pPr>
              <w:cnfStyle w:val="100000000000" w:firstRow="1" w:lastRow="0" w:firstColumn="0" w:lastColumn="0" w:oddVBand="0" w:evenVBand="0" w:oddHBand="0" w:evenHBand="0" w:firstRowFirstColumn="0" w:firstRowLastColumn="0" w:lastRowFirstColumn="0" w:lastRowLastColumn="0"/>
            </w:pPr>
            <w:r>
              <w:t>Mitigation Strategies</w:t>
            </w:r>
          </w:p>
        </w:tc>
        <w:tc>
          <w:tcPr>
            <w:tcW w:w="0" w:type="auto"/>
          </w:tcPr>
          <w:p w14:paraId="7B7C49C2" w14:textId="77777777" w:rsidR="005A474F" w:rsidRDefault="005A474F">
            <w:pPr>
              <w:cnfStyle w:val="100000000000" w:firstRow="1" w:lastRow="0" w:firstColumn="0" w:lastColumn="0" w:oddVBand="0" w:evenVBand="0" w:oddHBand="0" w:evenHBand="0" w:firstRowFirstColumn="0" w:firstRowLastColumn="0" w:lastRowFirstColumn="0" w:lastRowLastColumn="0"/>
            </w:pPr>
            <w:r>
              <w:t>Growth Opportunities</w:t>
            </w:r>
          </w:p>
        </w:tc>
        <w:tc>
          <w:tcPr>
            <w:tcW w:w="0" w:type="auto"/>
          </w:tcPr>
          <w:p w14:paraId="6A26A444" w14:textId="77777777" w:rsidR="005A474F" w:rsidRDefault="005A474F">
            <w:pPr>
              <w:cnfStyle w:val="100000000000" w:firstRow="1" w:lastRow="0" w:firstColumn="0" w:lastColumn="0" w:oddVBand="0" w:evenVBand="0" w:oddHBand="0" w:evenHBand="0" w:firstRowFirstColumn="0" w:firstRowLastColumn="0" w:lastRowFirstColumn="0" w:lastRowLastColumn="0"/>
            </w:pPr>
            <w:r>
              <w:t>Resources Needed</w:t>
            </w:r>
          </w:p>
        </w:tc>
        <w:tc>
          <w:tcPr>
            <w:tcW w:w="0" w:type="auto"/>
          </w:tcPr>
          <w:p w14:paraId="6778AA3B" w14:textId="77777777" w:rsidR="005A474F" w:rsidRDefault="005A474F">
            <w:pPr>
              <w:cnfStyle w:val="100000000000" w:firstRow="1" w:lastRow="0" w:firstColumn="0" w:lastColumn="0" w:oddVBand="0" w:evenVBand="0" w:oddHBand="0" w:evenHBand="0" w:firstRowFirstColumn="0" w:firstRowLastColumn="0" w:lastRowFirstColumn="0" w:lastRowLastColumn="0"/>
            </w:pPr>
            <w:r>
              <w:t>Digital Enablers</w:t>
            </w:r>
          </w:p>
        </w:tc>
        <w:tc>
          <w:tcPr>
            <w:tcW w:w="0" w:type="auto"/>
          </w:tcPr>
          <w:p w14:paraId="1B2777FF" w14:textId="17E021AF" w:rsidR="005A474F" w:rsidRDefault="005A474F">
            <w:pPr>
              <w:cnfStyle w:val="100000000000" w:firstRow="1" w:lastRow="0" w:firstColumn="0" w:lastColumn="0" w:oddVBand="0" w:evenVBand="0" w:oddHBand="0" w:evenHBand="0" w:firstRowFirstColumn="0" w:firstRowLastColumn="0" w:lastRowFirstColumn="0" w:lastRowLastColumn="0"/>
            </w:pPr>
            <w:r>
              <w:t>Expected Benefit</w:t>
            </w:r>
          </w:p>
        </w:tc>
      </w:tr>
      <w:tr w:rsidR="00DD0317" w14:paraId="574FE0B6" w14:textId="77777777" w:rsidTr="008B1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76CBF2" w14:textId="16D62EB3" w:rsidR="005A474F" w:rsidRDefault="005A474F">
            <w:r>
              <w:t>Supply chain issues with organic flour</w:t>
            </w:r>
          </w:p>
        </w:tc>
        <w:tc>
          <w:tcPr>
            <w:tcW w:w="0" w:type="auto"/>
          </w:tcPr>
          <w:p w14:paraId="4A99BA69" w14:textId="272527D1" w:rsidR="005A474F" w:rsidRDefault="00FE5428">
            <w:pPr>
              <w:cnfStyle w:val="000000100000" w:firstRow="0" w:lastRow="0" w:firstColumn="0" w:lastColumn="0" w:oddVBand="0" w:evenVBand="0" w:oddHBand="1" w:evenHBand="0" w:firstRowFirstColumn="0" w:firstRowLastColumn="0" w:lastRowFirstColumn="0" w:lastRowLastColumn="0"/>
            </w:pPr>
            <w:r>
              <w:t>Medium/High</w:t>
            </w:r>
          </w:p>
        </w:tc>
        <w:tc>
          <w:tcPr>
            <w:tcW w:w="0" w:type="auto"/>
          </w:tcPr>
          <w:p w14:paraId="737DC021" w14:textId="2F376608" w:rsidR="005A474F" w:rsidRDefault="00FE5428">
            <w:pPr>
              <w:cnfStyle w:val="000000100000" w:firstRow="0" w:lastRow="0" w:firstColumn="0" w:lastColumn="0" w:oddVBand="0" w:evenVBand="0" w:oddHBand="1" w:evenHBand="0" w:firstRowFirstColumn="0" w:firstRowLastColumn="0" w:lastRowFirstColumn="0" w:lastRowLastColumn="0"/>
            </w:pPr>
            <w:r>
              <w:t>High</w:t>
            </w:r>
          </w:p>
        </w:tc>
        <w:tc>
          <w:tcPr>
            <w:tcW w:w="0" w:type="auto"/>
          </w:tcPr>
          <w:p w14:paraId="4A7AE8BE" w14:textId="1764076E" w:rsidR="005A474F" w:rsidRDefault="005A474F">
            <w:pPr>
              <w:cnfStyle w:val="000000100000" w:firstRow="0" w:lastRow="0" w:firstColumn="0" w:lastColumn="0" w:oddVBand="0" w:evenVBand="0" w:oddHBand="1" w:evenHBand="0" w:firstRowFirstColumn="0" w:firstRowLastColumn="0" w:lastRowFirstColumn="0" w:lastRowLastColumn="0"/>
            </w:pPr>
            <w:r>
              <w:t>Diversify suppliers (local/regional), maintain safety stock.</w:t>
            </w:r>
          </w:p>
        </w:tc>
        <w:tc>
          <w:tcPr>
            <w:tcW w:w="0" w:type="auto"/>
          </w:tcPr>
          <w:p w14:paraId="683F9517" w14:textId="77777777" w:rsidR="005A474F" w:rsidRDefault="005A474F">
            <w:pPr>
              <w:cnfStyle w:val="000000100000" w:firstRow="0" w:lastRow="0" w:firstColumn="0" w:lastColumn="0" w:oddVBand="0" w:evenVBand="0" w:oddHBand="1" w:evenHBand="0" w:firstRowFirstColumn="0" w:firstRowLastColumn="0" w:lastRowFirstColumn="0" w:lastRowLastColumn="0"/>
            </w:pPr>
            <w:r>
              <w:t>Partnerships with local mills or regional organic producers.</w:t>
            </w:r>
          </w:p>
        </w:tc>
        <w:tc>
          <w:tcPr>
            <w:tcW w:w="0" w:type="auto"/>
          </w:tcPr>
          <w:p w14:paraId="6A478BEA" w14:textId="77777777" w:rsidR="005A474F" w:rsidRDefault="005A474F">
            <w:pPr>
              <w:cnfStyle w:val="000000100000" w:firstRow="0" w:lastRow="0" w:firstColumn="0" w:lastColumn="0" w:oddVBand="0" w:evenVBand="0" w:oddHBand="1" w:evenHBand="0" w:firstRowFirstColumn="0" w:firstRowLastColumn="0" w:lastRowFirstColumn="0" w:lastRowLastColumn="0"/>
            </w:pPr>
            <w:r>
              <w:t>Financial: contracts with multiple suppliers</w:t>
            </w:r>
            <w:r>
              <w:br/>
              <w:t>Human: procurement staff</w:t>
            </w:r>
            <w:r>
              <w:br/>
              <w:t>Organizational: supplier evaluation system</w:t>
            </w:r>
          </w:p>
        </w:tc>
        <w:tc>
          <w:tcPr>
            <w:tcW w:w="0" w:type="auto"/>
          </w:tcPr>
          <w:p w14:paraId="55CF73D0" w14:textId="77777777" w:rsidR="005A474F" w:rsidRDefault="005A474F">
            <w:pPr>
              <w:cnfStyle w:val="000000100000" w:firstRow="0" w:lastRow="0" w:firstColumn="0" w:lastColumn="0" w:oddVBand="0" w:evenVBand="0" w:oddHBand="1" w:evenHBand="0" w:firstRowFirstColumn="0" w:firstRowLastColumn="0" w:lastRowFirstColumn="0" w:lastRowLastColumn="0"/>
            </w:pPr>
            <w:r>
              <w:t>ERP systems for supplier management</w:t>
            </w:r>
          </w:p>
        </w:tc>
        <w:tc>
          <w:tcPr>
            <w:tcW w:w="0" w:type="auto"/>
          </w:tcPr>
          <w:p w14:paraId="129ACA4E" w14:textId="77777777" w:rsidR="005A474F" w:rsidRDefault="005A474F">
            <w:pPr>
              <w:cnfStyle w:val="000000100000" w:firstRow="0" w:lastRow="0" w:firstColumn="0" w:lastColumn="0" w:oddVBand="0" w:evenVBand="0" w:oddHBand="1" w:evenHBand="0" w:firstRowFirstColumn="0" w:firstRowLastColumn="0" w:lastRowFirstColumn="0" w:lastRowLastColumn="0"/>
            </w:pPr>
            <w:r>
              <w:t>Reduced dependency on imports, more stable supply chain.</w:t>
            </w:r>
          </w:p>
        </w:tc>
      </w:tr>
      <w:tr w:rsidR="00DD0317" w14:paraId="1C84F6BC" w14:textId="77777777" w:rsidTr="008B1EA0">
        <w:tc>
          <w:tcPr>
            <w:cnfStyle w:val="001000000000" w:firstRow="0" w:lastRow="0" w:firstColumn="1" w:lastColumn="0" w:oddVBand="0" w:evenVBand="0" w:oddHBand="0" w:evenHBand="0" w:firstRowFirstColumn="0" w:firstRowLastColumn="0" w:lastRowFirstColumn="0" w:lastRowLastColumn="0"/>
            <w:tcW w:w="0" w:type="auto"/>
          </w:tcPr>
          <w:p w14:paraId="2E6C7FCF" w14:textId="6C2ED315" w:rsidR="005A474F" w:rsidRDefault="005A474F">
            <w:r>
              <w:t>Rising energy prices affecting oven operations</w:t>
            </w:r>
          </w:p>
        </w:tc>
        <w:tc>
          <w:tcPr>
            <w:tcW w:w="0" w:type="auto"/>
          </w:tcPr>
          <w:p w14:paraId="34B1E45A" w14:textId="2CBE0135" w:rsidR="005A474F" w:rsidRDefault="00FE5428">
            <w:pPr>
              <w:cnfStyle w:val="000000000000" w:firstRow="0" w:lastRow="0" w:firstColumn="0" w:lastColumn="0" w:oddVBand="0" w:evenVBand="0" w:oddHBand="0" w:evenHBand="0" w:firstRowFirstColumn="0" w:firstRowLastColumn="0" w:lastRowFirstColumn="0" w:lastRowLastColumn="0"/>
            </w:pPr>
            <w:r>
              <w:t>High</w:t>
            </w:r>
          </w:p>
        </w:tc>
        <w:tc>
          <w:tcPr>
            <w:tcW w:w="0" w:type="auto"/>
          </w:tcPr>
          <w:p w14:paraId="5A4957F6" w14:textId="7B8C7F1A" w:rsidR="005A474F" w:rsidRDefault="00FE5428">
            <w:pPr>
              <w:cnfStyle w:val="000000000000" w:firstRow="0" w:lastRow="0" w:firstColumn="0" w:lastColumn="0" w:oddVBand="0" w:evenVBand="0" w:oddHBand="0" w:evenHBand="0" w:firstRowFirstColumn="0" w:firstRowLastColumn="0" w:lastRowFirstColumn="0" w:lastRowLastColumn="0"/>
            </w:pPr>
            <w:r>
              <w:t>High</w:t>
            </w:r>
          </w:p>
        </w:tc>
        <w:tc>
          <w:tcPr>
            <w:tcW w:w="0" w:type="auto"/>
          </w:tcPr>
          <w:p w14:paraId="136FEBF0" w14:textId="3646EEF1" w:rsidR="005A474F" w:rsidRDefault="005A474F">
            <w:pPr>
              <w:cnfStyle w:val="000000000000" w:firstRow="0" w:lastRow="0" w:firstColumn="0" w:lastColumn="0" w:oddVBand="0" w:evenVBand="0" w:oddHBand="0" w:evenHBand="0" w:firstRowFirstColumn="0" w:firstRowLastColumn="0" w:lastRowFirstColumn="0" w:lastRowLastColumn="0"/>
            </w:pPr>
            <w:r>
              <w:t>Invest in solar panels, optimize baking schedule for off-peak hours.</w:t>
            </w:r>
          </w:p>
        </w:tc>
        <w:tc>
          <w:tcPr>
            <w:tcW w:w="0" w:type="auto"/>
          </w:tcPr>
          <w:p w14:paraId="47BB1175" w14:textId="77777777" w:rsidR="005A474F" w:rsidRDefault="005A474F">
            <w:pPr>
              <w:cnfStyle w:val="000000000000" w:firstRow="0" w:lastRow="0" w:firstColumn="0" w:lastColumn="0" w:oddVBand="0" w:evenVBand="0" w:oddHBand="0" w:evenHBand="0" w:firstRowFirstColumn="0" w:firstRowLastColumn="0" w:lastRowFirstColumn="0" w:lastRowLastColumn="0"/>
            </w:pPr>
            <w:r>
              <w:t>Energy independence via solar panels, branding as eco-friendly bakery.</w:t>
            </w:r>
          </w:p>
        </w:tc>
        <w:tc>
          <w:tcPr>
            <w:tcW w:w="0" w:type="auto"/>
          </w:tcPr>
          <w:p w14:paraId="6E9982FA" w14:textId="77777777" w:rsidR="005A474F" w:rsidRDefault="005A474F">
            <w:pPr>
              <w:cnfStyle w:val="000000000000" w:firstRow="0" w:lastRow="0" w:firstColumn="0" w:lastColumn="0" w:oddVBand="0" w:evenVBand="0" w:oddHBand="0" w:evenHBand="0" w:firstRowFirstColumn="0" w:firstRowLastColumn="0" w:lastRowFirstColumn="0" w:lastRowLastColumn="0"/>
            </w:pPr>
            <w:r>
              <w:t>Financial: capital investment</w:t>
            </w:r>
            <w:r>
              <w:br/>
              <w:t>Human: external technical support</w:t>
            </w:r>
            <w:r>
              <w:br/>
              <w:t>Organizational: subsidy applications</w:t>
            </w:r>
          </w:p>
        </w:tc>
        <w:tc>
          <w:tcPr>
            <w:tcW w:w="0" w:type="auto"/>
          </w:tcPr>
          <w:p w14:paraId="1242A9FC" w14:textId="77777777" w:rsidR="005A474F" w:rsidRDefault="005A474F">
            <w:pPr>
              <w:cnfStyle w:val="000000000000" w:firstRow="0" w:lastRow="0" w:firstColumn="0" w:lastColumn="0" w:oddVBand="0" w:evenVBand="0" w:oddHBand="0" w:evenHBand="0" w:firstRowFirstColumn="0" w:firstRowLastColumn="0" w:lastRowFirstColumn="0" w:lastRowLastColumn="0"/>
            </w:pPr>
            <w:r>
              <w:t>IoT sensors for energy monitoring, predictive maintenance.</w:t>
            </w:r>
          </w:p>
        </w:tc>
        <w:tc>
          <w:tcPr>
            <w:tcW w:w="0" w:type="auto"/>
          </w:tcPr>
          <w:p w14:paraId="227FD116" w14:textId="77777777" w:rsidR="005A474F" w:rsidRDefault="005A474F">
            <w:pPr>
              <w:cnfStyle w:val="000000000000" w:firstRow="0" w:lastRow="0" w:firstColumn="0" w:lastColumn="0" w:oddVBand="0" w:evenVBand="0" w:oddHBand="0" w:evenHBand="0" w:firstRowFirstColumn="0" w:firstRowLastColumn="0" w:lastRowFirstColumn="0" w:lastRowLastColumn="0"/>
            </w:pPr>
            <w:r>
              <w:t>Lower energy costs, competitive sustainability advantage.</w:t>
            </w:r>
          </w:p>
        </w:tc>
      </w:tr>
      <w:tr w:rsidR="00DD0317" w14:paraId="55370596" w14:textId="77777777" w:rsidTr="008B1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FA578D" w14:textId="63D02157" w:rsidR="005A474F" w:rsidRDefault="005A474F">
            <w:r>
              <w:t>Competition from supermarkets offering 'organic' bread</w:t>
            </w:r>
          </w:p>
        </w:tc>
        <w:tc>
          <w:tcPr>
            <w:tcW w:w="0" w:type="auto"/>
          </w:tcPr>
          <w:p w14:paraId="5F4449B2" w14:textId="75539EFE" w:rsidR="005A474F" w:rsidRDefault="00FE5428">
            <w:pPr>
              <w:cnfStyle w:val="000000100000" w:firstRow="0" w:lastRow="0" w:firstColumn="0" w:lastColumn="0" w:oddVBand="0" w:evenVBand="0" w:oddHBand="1" w:evenHBand="0" w:firstRowFirstColumn="0" w:firstRowLastColumn="0" w:lastRowFirstColumn="0" w:lastRowLastColumn="0"/>
            </w:pPr>
            <w:r>
              <w:t>High</w:t>
            </w:r>
          </w:p>
        </w:tc>
        <w:tc>
          <w:tcPr>
            <w:tcW w:w="0" w:type="auto"/>
          </w:tcPr>
          <w:p w14:paraId="38193DCE" w14:textId="7D076518" w:rsidR="005A474F" w:rsidRDefault="00FE5428">
            <w:pPr>
              <w:cnfStyle w:val="000000100000" w:firstRow="0" w:lastRow="0" w:firstColumn="0" w:lastColumn="0" w:oddVBand="0" w:evenVBand="0" w:oddHBand="1" w:evenHBand="0" w:firstRowFirstColumn="0" w:firstRowLastColumn="0" w:lastRowFirstColumn="0" w:lastRowLastColumn="0"/>
            </w:pPr>
            <w:r>
              <w:t>Medium</w:t>
            </w:r>
          </w:p>
        </w:tc>
        <w:tc>
          <w:tcPr>
            <w:tcW w:w="0" w:type="auto"/>
          </w:tcPr>
          <w:p w14:paraId="25FD7A1E" w14:textId="213CE490" w:rsidR="005A474F" w:rsidRDefault="005A474F">
            <w:pPr>
              <w:cnfStyle w:val="000000100000" w:firstRow="0" w:lastRow="0" w:firstColumn="0" w:lastColumn="0" w:oddVBand="0" w:evenVBand="0" w:oddHBand="1" w:evenHBand="0" w:firstRowFirstColumn="0" w:firstRowLastColumn="0" w:lastRowFirstColumn="0" w:lastRowLastColumn="0"/>
            </w:pPr>
            <w:r>
              <w:t>Focus on artisanal quality, storytelling, sustainability branding.</w:t>
            </w:r>
          </w:p>
        </w:tc>
        <w:tc>
          <w:tcPr>
            <w:tcW w:w="0" w:type="auto"/>
          </w:tcPr>
          <w:p w14:paraId="084285BA" w14:textId="77777777" w:rsidR="005A474F" w:rsidRDefault="005A474F">
            <w:pPr>
              <w:cnfStyle w:val="000000100000" w:firstRow="0" w:lastRow="0" w:firstColumn="0" w:lastColumn="0" w:oddVBand="0" w:evenVBand="0" w:oddHBand="1" w:evenHBand="0" w:firstRowFirstColumn="0" w:firstRowLastColumn="0" w:lastRowFirstColumn="0" w:lastRowLastColumn="0"/>
            </w:pPr>
            <w:r>
              <w:t>Subscription model with home delivery.</w:t>
            </w:r>
          </w:p>
        </w:tc>
        <w:tc>
          <w:tcPr>
            <w:tcW w:w="0" w:type="auto"/>
          </w:tcPr>
          <w:p w14:paraId="7B10E637" w14:textId="77777777" w:rsidR="005A474F" w:rsidRDefault="005A474F">
            <w:pPr>
              <w:cnfStyle w:val="000000100000" w:firstRow="0" w:lastRow="0" w:firstColumn="0" w:lastColumn="0" w:oddVBand="0" w:evenVBand="0" w:oddHBand="1" w:evenHBand="0" w:firstRowFirstColumn="0" w:firstRowLastColumn="0" w:lastRowFirstColumn="0" w:lastRowLastColumn="0"/>
            </w:pPr>
            <w:r>
              <w:t>Financial: logistics investment</w:t>
            </w:r>
            <w:r>
              <w:br/>
              <w:t>Human: delivery staff</w:t>
            </w:r>
            <w:r>
              <w:br/>
              <w:t>Organizational: customer service protocols</w:t>
            </w:r>
          </w:p>
        </w:tc>
        <w:tc>
          <w:tcPr>
            <w:tcW w:w="0" w:type="auto"/>
          </w:tcPr>
          <w:p w14:paraId="525CCE48" w14:textId="77777777" w:rsidR="005A474F" w:rsidRDefault="005A474F">
            <w:pPr>
              <w:cnfStyle w:val="000000100000" w:firstRow="0" w:lastRow="0" w:firstColumn="0" w:lastColumn="0" w:oddVBand="0" w:evenVBand="0" w:oddHBand="1" w:evenHBand="0" w:firstRowFirstColumn="0" w:firstRowLastColumn="0" w:lastRowFirstColumn="0" w:lastRowLastColumn="0"/>
            </w:pPr>
            <w:r>
              <w:t>E-commerce platform for subscription management.</w:t>
            </w:r>
          </w:p>
        </w:tc>
        <w:tc>
          <w:tcPr>
            <w:tcW w:w="0" w:type="auto"/>
          </w:tcPr>
          <w:p w14:paraId="4D627533" w14:textId="77777777" w:rsidR="005A474F" w:rsidRDefault="005A474F">
            <w:pPr>
              <w:cnfStyle w:val="000000100000" w:firstRow="0" w:lastRow="0" w:firstColumn="0" w:lastColumn="0" w:oddVBand="0" w:evenVBand="0" w:oddHBand="1" w:evenHBand="0" w:firstRowFirstColumn="0" w:firstRowLastColumn="0" w:lastRowFirstColumn="0" w:lastRowLastColumn="0"/>
            </w:pPr>
            <w:proofErr w:type="gramStart"/>
            <w:r>
              <w:t>Builds</w:t>
            </w:r>
            <w:proofErr w:type="gramEnd"/>
            <w:r>
              <w:t xml:space="preserve"> </w:t>
            </w:r>
            <w:proofErr w:type="gramStart"/>
            <w:r>
              <w:t>loyalty,</w:t>
            </w:r>
            <w:proofErr w:type="gramEnd"/>
            <w:r>
              <w:t xml:space="preserve"> reduces revenue volatility.</w:t>
            </w:r>
          </w:p>
        </w:tc>
      </w:tr>
      <w:tr w:rsidR="00DD0317" w14:paraId="54E8ECD4" w14:textId="77777777" w:rsidTr="008B1EA0">
        <w:tc>
          <w:tcPr>
            <w:cnfStyle w:val="001000000000" w:firstRow="0" w:lastRow="0" w:firstColumn="1" w:lastColumn="0" w:oddVBand="0" w:evenVBand="0" w:oddHBand="0" w:evenHBand="0" w:firstRowFirstColumn="0" w:firstRowLastColumn="0" w:lastRowFirstColumn="0" w:lastRowLastColumn="0"/>
            <w:tcW w:w="0" w:type="auto"/>
          </w:tcPr>
          <w:p w14:paraId="3ADE2016" w14:textId="2C4471A9" w:rsidR="005A474F" w:rsidRDefault="005A474F">
            <w:r>
              <w:t>Food safety risks due to manual production</w:t>
            </w:r>
          </w:p>
        </w:tc>
        <w:tc>
          <w:tcPr>
            <w:tcW w:w="0" w:type="auto"/>
          </w:tcPr>
          <w:p w14:paraId="76FBAC1A" w14:textId="25AF7B55" w:rsidR="005A474F" w:rsidRDefault="00FE5428">
            <w:pPr>
              <w:cnfStyle w:val="000000000000" w:firstRow="0" w:lastRow="0" w:firstColumn="0" w:lastColumn="0" w:oddVBand="0" w:evenVBand="0" w:oddHBand="0" w:evenHBand="0" w:firstRowFirstColumn="0" w:firstRowLastColumn="0" w:lastRowFirstColumn="0" w:lastRowLastColumn="0"/>
            </w:pPr>
            <w:r>
              <w:t>Low/Medium</w:t>
            </w:r>
          </w:p>
        </w:tc>
        <w:tc>
          <w:tcPr>
            <w:tcW w:w="0" w:type="auto"/>
          </w:tcPr>
          <w:p w14:paraId="16803624" w14:textId="7D8BA466" w:rsidR="005A474F" w:rsidRDefault="00FE5428">
            <w:pPr>
              <w:cnfStyle w:val="000000000000" w:firstRow="0" w:lastRow="0" w:firstColumn="0" w:lastColumn="0" w:oddVBand="0" w:evenVBand="0" w:oddHBand="0" w:evenHBand="0" w:firstRowFirstColumn="0" w:firstRowLastColumn="0" w:lastRowFirstColumn="0" w:lastRowLastColumn="0"/>
            </w:pPr>
            <w:r>
              <w:t>High</w:t>
            </w:r>
          </w:p>
        </w:tc>
        <w:tc>
          <w:tcPr>
            <w:tcW w:w="0" w:type="auto"/>
          </w:tcPr>
          <w:p w14:paraId="7681C89A" w14:textId="4534D29A" w:rsidR="005A474F" w:rsidRDefault="005A474F">
            <w:pPr>
              <w:cnfStyle w:val="000000000000" w:firstRow="0" w:lastRow="0" w:firstColumn="0" w:lastColumn="0" w:oddVBand="0" w:evenVBand="0" w:oddHBand="0" w:evenHBand="0" w:firstRowFirstColumn="0" w:firstRowLastColumn="0" w:lastRowFirstColumn="0" w:lastRowLastColumn="0"/>
            </w:pPr>
            <w:r>
              <w:t>Staff hygiene training, HACCP standards, regular quality audits.</w:t>
            </w:r>
          </w:p>
        </w:tc>
        <w:tc>
          <w:tcPr>
            <w:tcW w:w="0" w:type="auto"/>
          </w:tcPr>
          <w:p w14:paraId="6BF9A943" w14:textId="5EDF485F" w:rsidR="005A474F" w:rsidRDefault="002E7112">
            <w:pPr>
              <w:cnfStyle w:val="000000000000" w:firstRow="0" w:lastRow="0" w:firstColumn="0" w:lastColumn="0" w:oddVBand="0" w:evenVBand="0" w:oddHBand="0" w:evenHBand="0" w:firstRowFirstColumn="0" w:firstRowLastColumn="0" w:lastRowFirstColumn="0" w:lastRowLastColumn="0"/>
            </w:pPr>
            <w:r>
              <w:t xml:space="preserve">Product standardization to </w:t>
            </w:r>
            <w:r w:rsidR="00D17289">
              <w:t xml:space="preserve">improve </w:t>
            </w:r>
            <w:r w:rsidR="00EE5B60">
              <w:t xml:space="preserve">the </w:t>
            </w:r>
            <w:r w:rsidR="00D17289">
              <w:t>process and enhance control</w:t>
            </w:r>
            <w:r w:rsidR="00B10E95">
              <w:t>,</w:t>
            </w:r>
            <w:r w:rsidR="00126F56">
              <w:t xml:space="preserve"> promoting </w:t>
            </w:r>
            <w:r w:rsidR="00B10E95">
              <w:t xml:space="preserve">the </w:t>
            </w:r>
            <w:r w:rsidR="00126F56">
              <w:t>flagship pro</w:t>
            </w:r>
            <w:r w:rsidR="00B10E95">
              <w:t>duct and its uniqueness</w:t>
            </w:r>
          </w:p>
        </w:tc>
        <w:tc>
          <w:tcPr>
            <w:tcW w:w="0" w:type="auto"/>
          </w:tcPr>
          <w:p w14:paraId="63DF7024" w14:textId="503E4628" w:rsidR="005A474F" w:rsidRDefault="005A474F">
            <w:pPr>
              <w:cnfStyle w:val="000000000000" w:firstRow="0" w:lastRow="0" w:firstColumn="0" w:lastColumn="0" w:oddVBand="0" w:evenVBand="0" w:oddHBand="0" w:evenHBand="0" w:firstRowFirstColumn="0" w:firstRowLastColumn="0" w:lastRowFirstColumn="0" w:lastRowLastColumn="0"/>
            </w:pPr>
            <w:r>
              <w:t xml:space="preserve">Financial: </w:t>
            </w:r>
            <w:r w:rsidR="006D57D3">
              <w:t>process analysis</w:t>
            </w:r>
            <w:r>
              <w:br/>
              <w:t xml:space="preserve">Human: </w:t>
            </w:r>
            <w:r w:rsidR="001A009C">
              <w:t>trained</w:t>
            </w:r>
            <w:r>
              <w:t xml:space="preserve"> bakers</w:t>
            </w:r>
            <w:r>
              <w:br/>
              <w:t xml:space="preserve">Organizational: </w:t>
            </w:r>
            <w:r w:rsidR="002055C6">
              <w:t xml:space="preserve">process </w:t>
            </w:r>
            <w:r w:rsidR="005041DF">
              <w:t>reorganizations</w:t>
            </w:r>
          </w:p>
        </w:tc>
        <w:tc>
          <w:tcPr>
            <w:tcW w:w="0" w:type="auto"/>
          </w:tcPr>
          <w:p w14:paraId="0DDDF836" w14:textId="77777777" w:rsidR="005A474F" w:rsidRDefault="005A474F">
            <w:pPr>
              <w:cnfStyle w:val="000000000000" w:firstRow="0" w:lastRow="0" w:firstColumn="0" w:lastColumn="0" w:oddVBand="0" w:evenVBand="0" w:oddHBand="0" w:evenHBand="0" w:firstRowFirstColumn="0" w:firstRowLastColumn="0" w:lastRowFirstColumn="0" w:lastRowLastColumn="0"/>
            </w:pPr>
            <w:r>
              <w:t>Digital recipe management, traceability software.</w:t>
            </w:r>
          </w:p>
        </w:tc>
        <w:tc>
          <w:tcPr>
            <w:tcW w:w="0" w:type="auto"/>
          </w:tcPr>
          <w:p w14:paraId="1787EF02" w14:textId="3C837FB9" w:rsidR="005A474F" w:rsidRDefault="00DD0317">
            <w:pPr>
              <w:cnfStyle w:val="000000000000" w:firstRow="0" w:lastRow="0" w:firstColumn="0" w:lastColumn="0" w:oddVBand="0" w:evenVBand="0" w:oddHBand="0" w:evenHBand="0" w:firstRowFirstColumn="0" w:firstRowLastColumn="0" w:lastRowFirstColumn="0" w:lastRowLastColumn="0"/>
            </w:pPr>
            <w:r>
              <w:t>Strengthening the unique brand and decreasing cost</w:t>
            </w:r>
          </w:p>
        </w:tc>
      </w:tr>
      <w:tr w:rsidR="00DD0317" w14:paraId="5F279072" w14:textId="77777777" w:rsidTr="008B1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D25756" w14:textId="6688D727" w:rsidR="005A474F" w:rsidRDefault="005A474F">
            <w:r>
              <w:t xml:space="preserve">Negative social media reviews </w:t>
            </w:r>
          </w:p>
        </w:tc>
        <w:tc>
          <w:tcPr>
            <w:tcW w:w="0" w:type="auto"/>
          </w:tcPr>
          <w:p w14:paraId="12FE4778" w14:textId="564DEFB5" w:rsidR="005A474F" w:rsidRDefault="00FE5428">
            <w:pPr>
              <w:cnfStyle w:val="000000100000" w:firstRow="0" w:lastRow="0" w:firstColumn="0" w:lastColumn="0" w:oddVBand="0" w:evenVBand="0" w:oddHBand="1" w:evenHBand="0" w:firstRowFirstColumn="0" w:firstRowLastColumn="0" w:lastRowFirstColumn="0" w:lastRowLastColumn="0"/>
            </w:pPr>
            <w:r>
              <w:t>Medium</w:t>
            </w:r>
          </w:p>
        </w:tc>
        <w:tc>
          <w:tcPr>
            <w:tcW w:w="0" w:type="auto"/>
          </w:tcPr>
          <w:p w14:paraId="394136AE" w14:textId="797A5E84" w:rsidR="005A474F" w:rsidRDefault="00FE5428">
            <w:pPr>
              <w:cnfStyle w:val="000000100000" w:firstRow="0" w:lastRow="0" w:firstColumn="0" w:lastColumn="0" w:oddVBand="0" w:evenVBand="0" w:oddHBand="1" w:evenHBand="0" w:firstRowFirstColumn="0" w:firstRowLastColumn="0" w:lastRowFirstColumn="0" w:lastRowLastColumn="0"/>
            </w:pPr>
            <w:r>
              <w:t>Medium/High</w:t>
            </w:r>
          </w:p>
        </w:tc>
        <w:tc>
          <w:tcPr>
            <w:tcW w:w="0" w:type="auto"/>
          </w:tcPr>
          <w:p w14:paraId="4E6D3B4F" w14:textId="105F7611" w:rsidR="005A474F" w:rsidRDefault="005A474F">
            <w:pPr>
              <w:cnfStyle w:val="000000100000" w:firstRow="0" w:lastRow="0" w:firstColumn="0" w:lastColumn="0" w:oddVBand="0" w:evenVBand="0" w:oddHBand="1" w:evenHBand="0" w:firstRowFirstColumn="0" w:firstRowLastColumn="0" w:lastRowFirstColumn="0" w:lastRowLastColumn="0"/>
            </w:pPr>
            <w:r>
              <w:t>Rapid-response communication plan, encourage positive reviews.</w:t>
            </w:r>
          </w:p>
        </w:tc>
        <w:tc>
          <w:tcPr>
            <w:tcW w:w="0" w:type="auto"/>
          </w:tcPr>
          <w:p w14:paraId="4F8920F6" w14:textId="77777777" w:rsidR="005A474F" w:rsidRDefault="005A474F">
            <w:pPr>
              <w:cnfStyle w:val="000000100000" w:firstRow="0" w:lastRow="0" w:firstColumn="0" w:lastColumn="0" w:oddVBand="0" w:evenVBand="0" w:oddHBand="1" w:evenHBand="0" w:firstRowFirstColumn="0" w:firstRowLastColumn="0" w:lastRowFirstColumn="0" w:lastRowLastColumn="0"/>
            </w:pPr>
            <w:r>
              <w:t>Digital loyalty program (CRM).</w:t>
            </w:r>
          </w:p>
        </w:tc>
        <w:tc>
          <w:tcPr>
            <w:tcW w:w="0" w:type="auto"/>
          </w:tcPr>
          <w:p w14:paraId="5AC26059" w14:textId="77777777" w:rsidR="005A474F" w:rsidRDefault="005A474F">
            <w:pPr>
              <w:cnfStyle w:val="000000100000" w:firstRow="0" w:lastRow="0" w:firstColumn="0" w:lastColumn="0" w:oddVBand="0" w:evenVBand="0" w:oddHBand="1" w:evenHBand="0" w:firstRowFirstColumn="0" w:firstRowLastColumn="0" w:lastRowFirstColumn="0" w:lastRowLastColumn="0"/>
            </w:pPr>
            <w:r>
              <w:t>Financial: CRM license</w:t>
            </w:r>
            <w:r>
              <w:br/>
              <w:t>Human: marketing specialist</w:t>
            </w:r>
            <w:r>
              <w:br/>
              <w:t>Organizational: data protection policies</w:t>
            </w:r>
          </w:p>
        </w:tc>
        <w:tc>
          <w:tcPr>
            <w:tcW w:w="0" w:type="auto"/>
          </w:tcPr>
          <w:p w14:paraId="6DF70E25" w14:textId="77777777" w:rsidR="005A474F" w:rsidRDefault="005A474F">
            <w:pPr>
              <w:cnfStyle w:val="000000100000" w:firstRow="0" w:lastRow="0" w:firstColumn="0" w:lastColumn="0" w:oddVBand="0" w:evenVBand="0" w:oddHBand="1" w:evenHBand="0" w:firstRowFirstColumn="0" w:firstRowLastColumn="0" w:lastRowFirstColumn="0" w:lastRowLastColumn="0"/>
            </w:pPr>
            <w:r>
              <w:t>CRM system, social media analytics tools.</w:t>
            </w:r>
          </w:p>
        </w:tc>
        <w:tc>
          <w:tcPr>
            <w:tcW w:w="0" w:type="auto"/>
          </w:tcPr>
          <w:p w14:paraId="39E69D26" w14:textId="77777777" w:rsidR="005A474F" w:rsidRDefault="005A474F">
            <w:pPr>
              <w:cnfStyle w:val="000000100000" w:firstRow="0" w:lastRow="0" w:firstColumn="0" w:lastColumn="0" w:oddVBand="0" w:evenVBand="0" w:oddHBand="1" w:evenHBand="0" w:firstRowFirstColumn="0" w:firstRowLastColumn="0" w:lastRowFirstColumn="0" w:lastRowLastColumn="0"/>
            </w:pPr>
            <w:r>
              <w:t>Improved engagement, early risk detection, higher retention.</w:t>
            </w:r>
          </w:p>
        </w:tc>
      </w:tr>
    </w:tbl>
    <w:p w14:paraId="2CC20B4E" w14:textId="799893A2" w:rsidR="001E1A7C" w:rsidRDefault="001E1A7C" w:rsidP="001E1A7C">
      <w:pPr>
        <w:pStyle w:val="Nagwek1"/>
      </w:pPr>
      <w:r>
        <w:lastRenderedPageBreak/>
        <w:t>CASE STUDY #</w:t>
      </w:r>
      <w:r w:rsidR="005D74C6">
        <w:t>...</w:t>
      </w:r>
      <w:proofErr w:type="gramStart"/>
      <w:r w:rsidR="005D74C6">
        <w:t xml:space="preserve">. </w:t>
      </w:r>
      <w:r>
        <w:t>:</w:t>
      </w:r>
      <w:proofErr w:type="gramEnd"/>
      <w:r w:rsidR="005D74C6">
        <w:t xml:space="preserve"> </w:t>
      </w:r>
      <w:r>
        <w:t>…………………………</w:t>
      </w:r>
      <w:proofErr w:type="gramStart"/>
      <w:r>
        <w:t>…..</w:t>
      </w:r>
      <w:proofErr w:type="gramEnd"/>
      <w:r>
        <w:tab/>
      </w:r>
      <w:r w:rsidR="00897BAE">
        <w:t>Resilience Strategy</w:t>
      </w:r>
    </w:p>
    <w:p w14:paraId="2B386E6D" w14:textId="77777777" w:rsidR="001E1A7C" w:rsidRPr="00766675" w:rsidRDefault="001E1A7C" w:rsidP="001E1A7C"/>
    <w:tbl>
      <w:tblPr>
        <w:tblStyle w:val="Zwykatabela2"/>
        <w:tblW w:w="5000" w:type="pct"/>
        <w:tblLook w:val="04A0" w:firstRow="1" w:lastRow="0" w:firstColumn="1" w:lastColumn="0" w:noHBand="0" w:noVBand="1"/>
      </w:tblPr>
      <w:tblGrid>
        <w:gridCol w:w="639"/>
        <w:gridCol w:w="1702"/>
        <w:gridCol w:w="1330"/>
        <w:gridCol w:w="2200"/>
        <w:gridCol w:w="2306"/>
        <w:gridCol w:w="1973"/>
        <w:gridCol w:w="1702"/>
        <w:gridCol w:w="1828"/>
      </w:tblGrid>
      <w:tr w:rsidR="001E1A7C" w14:paraId="735DFC33" w14:textId="77777777" w:rsidTr="003234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 w:type="pct"/>
          </w:tcPr>
          <w:p w14:paraId="2EF12331" w14:textId="77777777" w:rsidR="001E1A7C" w:rsidRDefault="001E1A7C" w:rsidP="00942B47">
            <w:r>
              <w:t>Risk</w:t>
            </w:r>
          </w:p>
        </w:tc>
        <w:tc>
          <w:tcPr>
            <w:tcW w:w="622" w:type="pct"/>
          </w:tcPr>
          <w:p w14:paraId="73DFCF3C" w14:textId="77777777" w:rsidR="001E1A7C" w:rsidRDefault="001E1A7C" w:rsidP="00942B47">
            <w:pPr>
              <w:cnfStyle w:val="100000000000" w:firstRow="1" w:lastRow="0" w:firstColumn="0" w:lastColumn="0" w:oddVBand="0" w:evenVBand="0" w:oddHBand="0" w:evenHBand="0" w:firstRowFirstColumn="0" w:firstRowLastColumn="0" w:lastRowFirstColumn="0" w:lastRowLastColumn="0"/>
            </w:pPr>
            <w:r>
              <w:t>Risk Probability</w:t>
            </w:r>
          </w:p>
        </w:tc>
        <w:tc>
          <w:tcPr>
            <w:tcW w:w="486" w:type="pct"/>
          </w:tcPr>
          <w:p w14:paraId="6C1E3917" w14:textId="77777777" w:rsidR="001E1A7C" w:rsidRDefault="001E1A7C" w:rsidP="00942B47">
            <w:pPr>
              <w:cnfStyle w:val="100000000000" w:firstRow="1" w:lastRow="0" w:firstColumn="0" w:lastColumn="0" w:oddVBand="0" w:evenVBand="0" w:oddHBand="0" w:evenHBand="0" w:firstRowFirstColumn="0" w:firstRowLastColumn="0" w:lastRowFirstColumn="0" w:lastRowLastColumn="0"/>
            </w:pPr>
            <w:r>
              <w:t>Risk Impact</w:t>
            </w:r>
          </w:p>
        </w:tc>
        <w:tc>
          <w:tcPr>
            <w:tcW w:w="804" w:type="pct"/>
          </w:tcPr>
          <w:p w14:paraId="5E8110C7" w14:textId="77777777" w:rsidR="001E1A7C" w:rsidRDefault="001E1A7C" w:rsidP="00942B47">
            <w:pPr>
              <w:cnfStyle w:val="100000000000" w:firstRow="1" w:lastRow="0" w:firstColumn="0" w:lastColumn="0" w:oddVBand="0" w:evenVBand="0" w:oddHBand="0" w:evenHBand="0" w:firstRowFirstColumn="0" w:firstRowLastColumn="0" w:lastRowFirstColumn="0" w:lastRowLastColumn="0"/>
            </w:pPr>
            <w:r>
              <w:t>Mitigation Strategies</w:t>
            </w:r>
          </w:p>
        </w:tc>
        <w:tc>
          <w:tcPr>
            <w:tcW w:w="843" w:type="pct"/>
          </w:tcPr>
          <w:p w14:paraId="186D9204" w14:textId="77777777" w:rsidR="001E1A7C" w:rsidRDefault="001E1A7C" w:rsidP="00942B47">
            <w:pPr>
              <w:cnfStyle w:val="100000000000" w:firstRow="1" w:lastRow="0" w:firstColumn="0" w:lastColumn="0" w:oddVBand="0" w:evenVBand="0" w:oddHBand="0" w:evenHBand="0" w:firstRowFirstColumn="0" w:firstRowLastColumn="0" w:lastRowFirstColumn="0" w:lastRowLastColumn="0"/>
            </w:pPr>
            <w:r>
              <w:t>Growth Opportunities</w:t>
            </w:r>
          </w:p>
        </w:tc>
        <w:tc>
          <w:tcPr>
            <w:tcW w:w="721" w:type="pct"/>
          </w:tcPr>
          <w:p w14:paraId="3E875043" w14:textId="77777777" w:rsidR="001E1A7C" w:rsidRDefault="001E1A7C" w:rsidP="00942B47">
            <w:pPr>
              <w:cnfStyle w:val="100000000000" w:firstRow="1" w:lastRow="0" w:firstColumn="0" w:lastColumn="0" w:oddVBand="0" w:evenVBand="0" w:oddHBand="0" w:evenHBand="0" w:firstRowFirstColumn="0" w:firstRowLastColumn="0" w:lastRowFirstColumn="0" w:lastRowLastColumn="0"/>
            </w:pPr>
            <w:r>
              <w:t>Resources Needed</w:t>
            </w:r>
          </w:p>
        </w:tc>
        <w:tc>
          <w:tcPr>
            <w:tcW w:w="622" w:type="pct"/>
          </w:tcPr>
          <w:p w14:paraId="681EE5A4" w14:textId="77777777" w:rsidR="001E1A7C" w:rsidRDefault="001E1A7C" w:rsidP="00942B47">
            <w:pPr>
              <w:cnfStyle w:val="100000000000" w:firstRow="1" w:lastRow="0" w:firstColumn="0" w:lastColumn="0" w:oddVBand="0" w:evenVBand="0" w:oddHBand="0" w:evenHBand="0" w:firstRowFirstColumn="0" w:firstRowLastColumn="0" w:lastRowFirstColumn="0" w:lastRowLastColumn="0"/>
            </w:pPr>
            <w:r>
              <w:t>Digital Enablers</w:t>
            </w:r>
          </w:p>
        </w:tc>
        <w:tc>
          <w:tcPr>
            <w:tcW w:w="668" w:type="pct"/>
          </w:tcPr>
          <w:p w14:paraId="045CB37A" w14:textId="77777777" w:rsidR="001E1A7C" w:rsidRDefault="001E1A7C" w:rsidP="00942B47">
            <w:pPr>
              <w:cnfStyle w:val="100000000000" w:firstRow="1" w:lastRow="0" w:firstColumn="0" w:lastColumn="0" w:oddVBand="0" w:evenVBand="0" w:oddHBand="0" w:evenHBand="0" w:firstRowFirstColumn="0" w:firstRowLastColumn="0" w:lastRowFirstColumn="0" w:lastRowLastColumn="0"/>
            </w:pPr>
            <w:r>
              <w:t>Expected Benefit</w:t>
            </w:r>
          </w:p>
        </w:tc>
      </w:tr>
      <w:tr w:rsidR="001E1A7C" w14:paraId="6CC54F3F" w14:textId="77777777" w:rsidTr="00323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 w:type="pct"/>
          </w:tcPr>
          <w:p w14:paraId="77A12929" w14:textId="4B1FBE77" w:rsidR="001E1A7C" w:rsidRDefault="001E1A7C" w:rsidP="00942B47"/>
        </w:tc>
        <w:tc>
          <w:tcPr>
            <w:tcW w:w="622" w:type="pct"/>
          </w:tcPr>
          <w:p w14:paraId="7CB4F4D0" w14:textId="3E0118C3"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486" w:type="pct"/>
          </w:tcPr>
          <w:p w14:paraId="4520D78F" w14:textId="34A52173"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804" w:type="pct"/>
          </w:tcPr>
          <w:p w14:paraId="17FA5681" w14:textId="34F4F699"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843" w:type="pct"/>
          </w:tcPr>
          <w:p w14:paraId="79D54643" w14:textId="09A5B3F2"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721" w:type="pct"/>
          </w:tcPr>
          <w:p w14:paraId="05F56969" w14:textId="1B3CE18E"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622" w:type="pct"/>
          </w:tcPr>
          <w:p w14:paraId="32D9985E" w14:textId="586E5197"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668" w:type="pct"/>
          </w:tcPr>
          <w:p w14:paraId="60B722F7" w14:textId="74AAD305" w:rsidR="001E1A7C" w:rsidRDefault="001E1A7C" w:rsidP="00942B47">
            <w:pPr>
              <w:cnfStyle w:val="000000100000" w:firstRow="0" w:lastRow="0" w:firstColumn="0" w:lastColumn="0" w:oddVBand="0" w:evenVBand="0" w:oddHBand="1" w:evenHBand="0" w:firstRowFirstColumn="0" w:firstRowLastColumn="0" w:lastRowFirstColumn="0" w:lastRowLastColumn="0"/>
            </w:pPr>
          </w:p>
        </w:tc>
      </w:tr>
      <w:tr w:rsidR="001E1A7C" w14:paraId="4F9EE70A" w14:textId="77777777" w:rsidTr="00323427">
        <w:tc>
          <w:tcPr>
            <w:cnfStyle w:val="001000000000" w:firstRow="0" w:lastRow="0" w:firstColumn="1" w:lastColumn="0" w:oddVBand="0" w:evenVBand="0" w:oddHBand="0" w:evenHBand="0" w:firstRowFirstColumn="0" w:firstRowLastColumn="0" w:lastRowFirstColumn="0" w:lastRowLastColumn="0"/>
            <w:tcW w:w="234" w:type="pct"/>
          </w:tcPr>
          <w:p w14:paraId="687E04D8" w14:textId="0563BAE3" w:rsidR="001E1A7C" w:rsidRDefault="001E1A7C" w:rsidP="00942B47"/>
        </w:tc>
        <w:tc>
          <w:tcPr>
            <w:tcW w:w="622" w:type="pct"/>
          </w:tcPr>
          <w:p w14:paraId="458CAE1B" w14:textId="3D1C6537"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486" w:type="pct"/>
          </w:tcPr>
          <w:p w14:paraId="41002144" w14:textId="6CCADA0F"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804" w:type="pct"/>
          </w:tcPr>
          <w:p w14:paraId="3D091747" w14:textId="19C9C658"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843" w:type="pct"/>
          </w:tcPr>
          <w:p w14:paraId="20CED603" w14:textId="042BA79C"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721" w:type="pct"/>
          </w:tcPr>
          <w:p w14:paraId="39F4F50D" w14:textId="3FF70FF3"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622" w:type="pct"/>
          </w:tcPr>
          <w:p w14:paraId="0569C3E6" w14:textId="3169B950"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668" w:type="pct"/>
          </w:tcPr>
          <w:p w14:paraId="458D0FAB" w14:textId="1BDABBF7" w:rsidR="001E1A7C" w:rsidRDefault="001E1A7C" w:rsidP="00942B47">
            <w:pPr>
              <w:cnfStyle w:val="000000000000" w:firstRow="0" w:lastRow="0" w:firstColumn="0" w:lastColumn="0" w:oddVBand="0" w:evenVBand="0" w:oddHBand="0" w:evenHBand="0" w:firstRowFirstColumn="0" w:firstRowLastColumn="0" w:lastRowFirstColumn="0" w:lastRowLastColumn="0"/>
            </w:pPr>
          </w:p>
        </w:tc>
      </w:tr>
      <w:tr w:rsidR="001E1A7C" w14:paraId="6434D304" w14:textId="77777777" w:rsidTr="00323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 w:type="pct"/>
          </w:tcPr>
          <w:p w14:paraId="1E125542" w14:textId="0EC04A1A" w:rsidR="001E1A7C" w:rsidRDefault="001E1A7C" w:rsidP="00942B47"/>
        </w:tc>
        <w:tc>
          <w:tcPr>
            <w:tcW w:w="622" w:type="pct"/>
          </w:tcPr>
          <w:p w14:paraId="405D8AA9" w14:textId="17B4D0F0"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486" w:type="pct"/>
          </w:tcPr>
          <w:p w14:paraId="5F9D4C62" w14:textId="05C2A807"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804" w:type="pct"/>
          </w:tcPr>
          <w:p w14:paraId="30884762" w14:textId="58A67AD2"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843" w:type="pct"/>
          </w:tcPr>
          <w:p w14:paraId="77275723" w14:textId="0EFB4583"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721" w:type="pct"/>
          </w:tcPr>
          <w:p w14:paraId="3B46C011" w14:textId="5DA7F1FC"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622" w:type="pct"/>
          </w:tcPr>
          <w:p w14:paraId="24432AD0" w14:textId="0BF55419"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668" w:type="pct"/>
          </w:tcPr>
          <w:p w14:paraId="3FCE30D9" w14:textId="5E054A04" w:rsidR="001E1A7C" w:rsidRDefault="001E1A7C" w:rsidP="00942B47">
            <w:pPr>
              <w:cnfStyle w:val="000000100000" w:firstRow="0" w:lastRow="0" w:firstColumn="0" w:lastColumn="0" w:oddVBand="0" w:evenVBand="0" w:oddHBand="1" w:evenHBand="0" w:firstRowFirstColumn="0" w:firstRowLastColumn="0" w:lastRowFirstColumn="0" w:lastRowLastColumn="0"/>
            </w:pPr>
          </w:p>
        </w:tc>
      </w:tr>
      <w:tr w:rsidR="001E1A7C" w14:paraId="33141C20" w14:textId="77777777" w:rsidTr="00323427">
        <w:tc>
          <w:tcPr>
            <w:cnfStyle w:val="001000000000" w:firstRow="0" w:lastRow="0" w:firstColumn="1" w:lastColumn="0" w:oddVBand="0" w:evenVBand="0" w:oddHBand="0" w:evenHBand="0" w:firstRowFirstColumn="0" w:firstRowLastColumn="0" w:lastRowFirstColumn="0" w:lastRowLastColumn="0"/>
            <w:tcW w:w="234" w:type="pct"/>
          </w:tcPr>
          <w:p w14:paraId="599026A7" w14:textId="5D7593BC" w:rsidR="001E1A7C" w:rsidRDefault="001E1A7C" w:rsidP="00942B47"/>
        </w:tc>
        <w:tc>
          <w:tcPr>
            <w:tcW w:w="622" w:type="pct"/>
          </w:tcPr>
          <w:p w14:paraId="0A27CB95" w14:textId="4BF3A7B4"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486" w:type="pct"/>
          </w:tcPr>
          <w:p w14:paraId="33B9D0B9" w14:textId="07B87F2D"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804" w:type="pct"/>
          </w:tcPr>
          <w:p w14:paraId="7A890885" w14:textId="7FAF6B68"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843" w:type="pct"/>
          </w:tcPr>
          <w:p w14:paraId="7618C2CF" w14:textId="728BFE80"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721" w:type="pct"/>
          </w:tcPr>
          <w:p w14:paraId="2EF68001" w14:textId="4749BAB1"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622" w:type="pct"/>
          </w:tcPr>
          <w:p w14:paraId="41996321" w14:textId="299153D4" w:rsidR="001E1A7C" w:rsidRDefault="001E1A7C" w:rsidP="00942B47">
            <w:pPr>
              <w:cnfStyle w:val="000000000000" w:firstRow="0" w:lastRow="0" w:firstColumn="0" w:lastColumn="0" w:oddVBand="0" w:evenVBand="0" w:oddHBand="0" w:evenHBand="0" w:firstRowFirstColumn="0" w:firstRowLastColumn="0" w:lastRowFirstColumn="0" w:lastRowLastColumn="0"/>
            </w:pPr>
          </w:p>
        </w:tc>
        <w:tc>
          <w:tcPr>
            <w:tcW w:w="668" w:type="pct"/>
          </w:tcPr>
          <w:p w14:paraId="347CCEBE" w14:textId="01E782CB" w:rsidR="001E1A7C" w:rsidRDefault="001E1A7C" w:rsidP="00942B47">
            <w:pPr>
              <w:cnfStyle w:val="000000000000" w:firstRow="0" w:lastRow="0" w:firstColumn="0" w:lastColumn="0" w:oddVBand="0" w:evenVBand="0" w:oddHBand="0" w:evenHBand="0" w:firstRowFirstColumn="0" w:firstRowLastColumn="0" w:lastRowFirstColumn="0" w:lastRowLastColumn="0"/>
            </w:pPr>
          </w:p>
        </w:tc>
      </w:tr>
      <w:tr w:rsidR="001E1A7C" w14:paraId="6A238F22" w14:textId="77777777" w:rsidTr="003234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 w:type="pct"/>
          </w:tcPr>
          <w:p w14:paraId="2587CDF2" w14:textId="254825FE" w:rsidR="001E1A7C" w:rsidRDefault="001E1A7C" w:rsidP="00942B47"/>
        </w:tc>
        <w:tc>
          <w:tcPr>
            <w:tcW w:w="622" w:type="pct"/>
          </w:tcPr>
          <w:p w14:paraId="65F479FB" w14:textId="60653251"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486" w:type="pct"/>
          </w:tcPr>
          <w:p w14:paraId="6EF86D72" w14:textId="163A94A5"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804" w:type="pct"/>
          </w:tcPr>
          <w:p w14:paraId="4B8B9165" w14:textId="2106A026"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843" w:type="pct"/>
          </w:tcPr>
          <w:p w14:paraId="4455A795" w14:textId="0E3BA3C6"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721" w:type="pct"/>
          </w:tcPr>
          <w:p w14:paraId="250ADB71" w14:textId="7545B4F2"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622" w:type="pct"/>
          </w:tcPr>
          <w:p w14:paraId="2C914F80" w14:textId="6B3BEED1" w:rsidR="001E1A7C" w:rsidRDefault="001E1A7C" w:rsidP="00942B47">
            <w:pPr>
              <w:cnfStyle w:val="000000100000" w:firstRow="0" w:lastRow="0" w:firstColumn="0" w:lastColumn="0" w:oddVBand="0" w:evenVBand="0" w:oddHBand="1" w:evenHBand="0" w:firstRowFirstColumn="0" w:firstRowLastColumn="0" w:lastRowFirstColumn="0" w:lastRowLastColumn="0"/>
            </w:pPr>
          </w:p>
        </w:tc>
        <w:tc>
          <w:tcPr>
            <w:tcW w:w="668" w:type="pct"/>
          </w:tcPr>
          <w:p w14:paraId="5DA3A5FC" w14:textId="02B169FE" w:rsidR="001E1A7C" w:rsidRDefault="001E1A7C" w:rsidP="00942B47">
            <w:pPr>
              <w:cnfStyle w:val="000000100000" w:firstRow="0" w:lastRow="0" w:firstColumn="0" w:lastColumn="0" w:oddVBand="0" w:evenVBand="0" w:oddHBand="1" w:evenHBand="0" w:firstRowFirstColumn="0" w:firstRowLastColumn="0" w:lastRowFirstColumn="0" w:lastRowLastColumn="0"/>
            </w:pPr>
          </w:p>
        </w:tc>
      </w:tr>
    </w:tbl>
    <w:p w14:paraId="5C11AA60" w14:textId="77777777" w:rsidR="001E1A7C" w:rsidRDefault="001E1A7C"/>
    <w:sectPr w:rsidR="001E1A7C" w:rsidSect="0082004F">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080" w:bottom="1440" w:left="1080" w:header="720" w:footer="720" w:gutter="0"/>
      <w:pgBorders w:offsetFrom="page">
        <w:top w:val="single" w:sz="48" w:space="24" w:color="17365D" w:themeColor="text2" w:themeShade="BF"/>
        <w:left w:val="single" w:sz="48" w:space="24" w:color="17365D" w:themeColor="text2" w:themeShade="BF"/>
        <w:bottom w:val="single" w:sz="48" w:space="24" w:color="17365D" w:themeColor="text2" w:themeShade="BF"/>
        <w:right w:val="single" w:sz="48" w:space="24" w:color="17365D" w:themeColor="text2"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2A0D0" w14:textId="77777777" w:rsidR="00191E25" w:rsidRDefault="00191E25" w:rsidP="00BF25C7">
      <w:pPr>
        <w:spacing w:after="0" w:line="240" w:lineRule="auto"/>
      </w:pPr>
      <w:r>
        <w:separator/>
      </w:r>
    </w:p>
  </w:endnote>
  <w:endnote w:type="continuationSeparator" w:id="0">
    <w:p w14:paraId="43B8857D" w14:textId="77777777" w:rsidR="00191E25" w:rsidRDefault="00191E25" w:rsidP="00BF2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21EF" w14:textId="77777777" w:rsidR="00BF25C7" w:rsidRDefault="00BF25C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ADB38" w14:textId="784B71A9" w:rsidR="00BF25C7" w:rsidRDefault="00BF25C7">
    <w:pPr>
      <w:pStyle w:val="Stopka"/>
    </w:pPr>
    <w:r w:rsidRPr="00FD0196">
      <w:rPr>
        <w:noProof/>
      </w:rPr>
      <w:drawing>
        <wp:anchor distT="0" distB="0" distL="114300" distR="114300" simplePos="0" relativeHeight="251661312" behindDoc="0" locked="0" layoutInCell="1" allowOverlap="1" wp14:anchorId="050AD660" wp14:editId="26B2BF13">
          <wp:simplePos x="0" y="0"/>
          <wp:positionH relativeFrom="column">
            <wp:posOffset>2067591</wp:posOffset>
          </wp:positionH>
          <wp:positionV relativeFrom="paragraph">
            <wp:posOffset>-202782</wp:posOffset>
          </wp:positionV>
          <wp:extent cx="830580" cy="287655"/>
          <wp:effectExtent l="0" t="0" r="7620" b="0"/>
          <wp:wrapSquare wrapText="bothSides"/>
          <wp:docPr id="5" name="Obraz 4">
            <a:extLst xmlns:a="http://schemas.openxmlformats.org/drawingml/2006/main">
              <a:ext uri="{FF2B5EF4-FFF2-40B4-BE49-F238E27FC236}">
                <a16:creationId xmlns:a16="http://schemas.microsoft.com/office/drawing/2014/main" id="{FA4F174E-31A3-9332-DD91-03FBECB102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FA4F174E-31A3-9332-DD91-03FBECB10272}"/>
                      </a:ext>
                    </a:extLst>
                  </pic:cNvPr>
                  <pic:cNvPicPr>
                    <a:picLocks noChangeAspect="1"/>
                  </pic:cNvPicPr>
                </pic:nvPicPr>
                <pic:blipFill>
                  <a:blip r:embed="rId1"/>
                  <a:stretch>
                    <a:fillRect/>
                  </a:stretch>
                </pic:blipFill>
                <pic:spPr>
                  <a:xfrm>
                    <a:off x="0" y="0"/>
                    <a:ext cx="830580" cy="2876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5BA6C725" wp14:editId="67EA37EE">
              <wp:simplePos x="0" y="0"/>
              <wp:positionH relativeFrom="column">
                <wp:posOffset>3606800</wp:posOffset>
              </wp:positionH>
              <wp:positionV relativeFrom="paragraph">
                <wp:posOffset>-245745</wp:posOffset>
              </wp:positionV>
              <wp:extent cx="5406390" cy="345440"/>
              <wp:effectExtent l="0" t="0" r="0" b="0"/>
              <wp:wrapNone/>
              <wp:docPr id="6" name="Rectangle 35">
                <a:extLst xmlns:a="http://schemas.openxmlformats.org/drawingml/2006/main">
                  <a:ext uri="{FF2B5EF4-FFF2-40B4-BE49-F238E27FC236}">
                    <a16:creationId xmlns:a16="http://schemas.microsoft.com/office/drawing/2014/main" id="{BC17E1E4-19FF-528C-7E16-C063599A2D53}"/>
                  </a:ext>
                </a:extLst>
              </wp:docPr>
              <wp:cNvGraphicFramePr/>
              <a:graphic xmlns:a="http://schemas.openxmlformats.org/drawingml/2006/main">
                <a:graphicData uri="http://schemas.microsoft.com/office/word/2010/wordprocessingShape">
                  <wps:wsp>
                    <wps:cNvSpPr/>
                    <wps:spPr>
                      <a:xfrm>
                        <a:off x="0" y="0"/>
                        <a:ext cx="5406390" cy="345440"/>
                      </a:xfrm>
                      <a:prstGeom prst="rect">
                        <a:avLst/>
                      </a:prstGeom>
                    </wps:spPr>
                    <wps:txbx>
                      <w:txbxContent>
                        <w:p w14:paraId="281884FC" w14:textId="77777777" w:rsidR="00BF25C7" w:rsidRPr="00FD0196" w:rsidRDefault="00BF25C7" w:rsidP="00BF25C7">
                          <w:pPr>
                            <w:overflowPunct w:val="0"/>
                            <w:jc w:val="both"/>
                            <w:rPr>
                              <w:rFonts w:ascii="Calibri" w:eastAsia="Open Sans" w:hAnsi="Calibri" w:cs="Calibri"/>
                              <w:color w:val="0B3A5B"/>
                              <w:kern w:val="24"/>
                              <w:sz w:val="16"/>
                              <w:szCs w:val="16"/>
                            </w:rPr>
                          </w:pPr>
                          <w:r w:rsidRPr="00FD0196">
                            <w:rPr>
                              <w:rFonts w:ascii="Calibri" w:eastAsia="Open Sans" w:hAnsi="Calibri" w:cs="Calibri"/>
                              <w:color w:val="0B3A5B"/>
                              <w:kern w:val="24"/>
                              <w:sz w:val="16"/>
                              <w:szCs w:val="16"/>
                            </w:rPr>
                            <w:t>Funded by the European Union. Views and opinions expressed are however those of the author(s) only and do not necessarily reflect those of the European Union. Neither the European Union nor the granting authority can be held responsible for them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BA6C725" id="Rectangle 35" o:spid="_x0000_s1026" style="position:absolute;margin-left:284pt;margin-top:-19.35pt;width:425.7pt;height:2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" filled="f" stroked="f">
              <v:textbox>
                <w:txbxContent>
                  <w:p w14:paraId="281884FC" w14:textId="77777777" w:rsidR="00BF25C7" w:rsidRPr="00FD0196" w:rsidRDefault="00BF25C7" w:rsidP="00BF25C7">
                    <w:pPr>
                      <w:overflowPunct w:val="0"/>
                      <w:jc w:val="both"/>
                      <w:rPr>
                        <w:rFonts w:ascii="Calibri" w:eastAsia="Open Sans" w:hAnsi="Calibri" w:cs="Calibri"/>
                        <w:color w:val="0B3A5B"/>
                        <w:kern w:val="24"/>
                        <w:sz w:val="16"/>
                        <w:szCs w:val="16"/>
                      </w:rPr>
                    </w:pPr>
                    <w:r w:rsidRPr="00FD0196">
                      <w:rPr>
                        <w:rFonts w:ascii="Calibri" w:eastAsia="Open Sans" w:hAnsi="Calibri" w:cs="Calibri"/>
                        <w:color w:val="0B3A5B"/>
                        <w:kern w:val="24"/>
                        <w:sz w:val="16"/>
                        <w:szCs w:val="16"/>
                      </w:rPr>
                      <w:t>Funded by the European Union. Views and opinions expressed are however those of the author(s) only and do not necessarily reflect those of the European Union. Neither the European Union nor the granting authority can be held responsible for them</w:t>
                    </w:r>
                  </w:p>
                </w:txbxContent>
              </v:textbox>
            </v:rect>
          </w:pict>
        </mc:Fallback>
      </mc:AlternateContent>
    </w:r>
    <w:r>
      <w:rPr>
        <w:noProof/>
      </w:rPr>
      <w:drawing>
        <wp:anchor distT="0" distB="0" distL="114300" distR="114300" simplePos="0" relativeHeight="251660288" behindDoc="0" locked="0" layoutInCell="1" allowOverlap="1" wp14:anchorId="3DEBF172" wp14:editId="3A18FA8C">
          <wp:simplePos x="0" y="0"/>
          <wp:positionH relativeFrom="margin">
            <wp:posOffset>0</wp:posOffset>
          </wp:positionH>
          <wp:positionV relativeFrom="paragraph">
            <wp:posOffset>-223520</wp:posOffset>
          </wp:positionV>
          <wp:extent cx="1332230" cy="296545"/>
          <wp:effectExtent l="0" t="0" r="0" b="8255"/>
          <wp:wrapNone/>
          <wp:docPr id="9" name="Picture 3">
            <a:extLst xmlns:a="http://schemas.openxmlformats.org/drawingml/2006/main">
              <a:ext uri="{FF2B5EF4-FFF2-40B4-BE49-F238E27FC236}">
                <a16:creationId xmlns:a16="http://schemas.microsoft.com/office/drawing/2014/main" id="{DCAA158C-3120-6CE6-8A73-F506E49DA1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a:extLst>
                      <a:ext uri="{FF2B5EF4-FFF2-40B4-BE49-F238E27FC236}">
                        <a16:creationId xmlns:a16="http://schemas.microsoft.com/office/drawing/2014/main" id="{DCAA158C-3120-6CE6-8A73-F506E49DA1B5}"/>
                      </a:ext>
                    </a:extLst>
                  </pic:cNvPr>
                  <pic:cNvPicPr>
                    <a:picLocks noChangeAspect="1"/>
                  </pic:cNvPicPr>
                </pic:nvPicPr>
                <pic:blipFill>
                  <a:blip r:embed="rId2"/>
                  <a:stretch>
                    <a:fillRect/>
                  </a:stretch>
                </pic:blipFill>
                <pic:spPr>
                  <a:xfrm>
                    <a:off x="0" y="0"/>
                    <a:ext cx="1332230" cy="2965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BB598" w14:textId="77777777" w:rsidR="00BF25C7" w:rsidRDefault="00BF25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A83AE" w14:textId="77777777" w:rsidR="00191E25" w:rsidRDefault="00191E25" w:rsidP="00BF25C7">
      <w:pPr>
        <w:spacing w:after="0" w:line="240" w:lineRule="auto"/>
      </w:pPr>
      <w:r>
        <w:separator/>
      </w:r>
    </w:p>
  </w:footnote>
  <w:footnote w:type="continuationSeparator" w:id="0">
    <w:p w14:paraId="5CDA6FBF" w14:textId="77777777" w:rsidR="00191E25" w:rsidRDefault="00191E25" w:rsidP="00BF2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802E" w14:textId="77777777" w:rsidR="00BF25C7" w:rsidRDefault="00BF25C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4887B" w14:textId="77777777" w:rsidR="00BF25C7" w:rsidRDefault="00BF25C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C9E4" w14:textId="77777777" w:rsidR="00BF25C7" w:rsidRDefault="00BF25C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657616112">
    <w:abstractNumId w:val="8"/>
  </w:num>
  <w:num w:numId="2" w16cid:durableId="1241982750">
    <w:abstractNumId w:val="6"/>
  </w:num>
  <w:num w:numId="3" w16cid:durableId="1332098935">
    <w:abstractNumId w:val="5"/>
  </w:num>
  <w:num w:numId="4" w16cid:durableId="835850871">
    <w:abstractNumId w:val="4"/>
  </w:num>
  <w:num w:numId="5" w16cid:durableId="1454905716">
    <w:abstractNumId w:val="7"/>
  </w:num>
  <w:num w:numId="6" w16cid:durableId="948665492">
    <w:abstractNumId w:val="3"/>
  </w:num>
  <w:num w:numId="7" w16cid:durableId="1997605533">
    <w:abstractNumId w:val="2"/>
  </w:num>
  <w:num w:numId="8" w16cid:durableId="1580753770">
    <w:abstractNumId w:val="1"/>
  </w:num>
  <w:num w:numId="9" w16cid:durableId="1985576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7A3A"/>
    <w:rsid w:val="000F79F4"/>
    <w:rsid w:val="00126F56"/>
    <w:rsid w:val="001333EB"/>
    <w:rsid w:val="0015074B"/>
    <w:rsid w:val="00191E25"/>
    <w:rsid w:val="001A009C"/>
    <w:rsid w:val="001B5D6C"/>
    <w:rsid w:val="001E1A7C"/>
    <w:rsid w:val="002055C6"/>
    <w:rsid w:val="0027445A"/>
    <w:rsid w:val="00293FEE"/>
    <w:rsid w:val="0029639D"/>
    <w:rsid w:val="002A1FD0"/>
    <w:rsid w:val="002D5F87"/>
    <w:rsid w:val="002E4EFF"/>
    <w:rsid w:val="002E7112"/>
    <w:rsid w:val="003111E0"/>
    <w:rsid w:val="003211B8"/>
    <w:rsid w:val="00323427"/>
    <w:rsid w:val="00326F90"/>
    <w:rsid w:val="005041DF"/>
    <w:rsid w:val="005042EA"/>
    <w:rsid w:val="005A474F"/>
    <w:rsid w:val="005D74C6"/>
    <w:rsid w:val="0061548D"/>
    <w:rsid w:val="0069570A"/>
    <w:rsid w:val="006D57D3"/>
    <w:rsid w:val="00766675"/>
    <w:rsid w:val="0082004F"/>
    <w:rsid w:val="00897BAE"/>
    <w:rsid w:val="008B0D0A"/>
    <w:rsid w:val="008B1EA0"/>
    <w:rsid w:val="008E726A"/>
    <w:rsid w:val="00A11212"/>
    <w:rsid w:val="00A75058"/>
    <w:rsid w:val="00AA1D8D"/>
    <w:rsid w:val="00B10E95"/>
    <w:rsid w:val="00B13273"/>
    <w:rsid w:val="00B47730"/>
    <w:rsid w:val="00BB7318"/>
    <w:rsid w:val="00BD6E12"/>
    <w:rsid w:val="00BF25C7"/>
    <w:rsid w:val="00C7119B"/>
    <w:rsid w:val="00C73792"/>
    <w:rsid w:val="00CB0664"/>
    <w:rsid w:val="00D17289"/>
    <w:rsid w:val="00D43DF9"/>
    <w:rsid w:val="00DC5F99"/>
    <w:rsid w:val="00DD0317"/>
    <w:rsid w:val="00E7552A"/>
    <w:rsid w:val="00EE5B60"/>
    <w:rsid w:val="00FC693F"/>
    <w:rsid w:val="00FE5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F11B00"/>
  <w14:defaultImageDpi w14:val="300"/>
  <w15:docId w15:val="{E0241A5F-6F6F-48EB-8CBD-293AECE9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3792"/>
    <w:rPr>
      <w:rFonts w:asciiTheme="majorHAnsi" w:hAnsiTheme="majorHAnsi"/>
      <w:sz w:val="18"/>
    </w:rPr>
  </w:style>
  <w:style w:type="paragraph" w:styleId="Nagwek1">
    <w:name w:val="heading 1"/>
    <w:basedOn w:val="Normalny"/>
    <w:next w:val="Normalny"/>
    <w:link w:val="Nagwek1Znak"/>
    <w:uiPriority w:val="9"/>
    <w:qFormat/>
    <w:rsid w:val="000F79F4"/>
    <w:pPr>
      <w:keepNext/>
      <w:keepLines/>
      <w:tabs>
        <w:tab w:val="right" w:pos="13608"/>
      </w:tabs>
      <w:spacing w:after="0"/>
      <w:outlineLvl w:val="0"/>
    </w:pPr>
    <w:rPr>
      <w:rFonts w:eastAsiaTheme="majorEastAsia"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eastAsiaTheme="majorEastAsia"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eastAsiaTheme="majorEastAsia"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eastAsiaTheme="majorEastAsia"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eastAsiaTheme="majorEastAsia"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eastAsiaTheme="majorEastAsia"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eastAsiaTheme="majorEastAsia"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eastAsiaTheme="majorEastAsia"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eastAsiaTheme="majorEastAsia"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0F79F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eastAsiaTheme="majorEastAsia"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Zwykatabela2">
    <w:name w:val="Plain Table 2"/>
    <w:basedOn w:val="Standardowy"/>
    <w:uiPriority w:val="99"/>
    <w:rsid w:val="008B1E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92712FCC7E824DAF43E355A1479632" ma:contentTypeVersion="17" ma:contentTypeDescription="Utwórz nowy dokument." ma:contentTypeScope="" ma:versionID="ac00a324726451d215a41440ca0a880b">
  <xsd:schema xmlns:xsd="http://www.w3.org/2001/XMLSchema" xmlns:xs="http://www.w3.org/2001/XMLSchema" xmlns:p="http://schemas.microsoft.com/office/2006/metadata/properties" xmlns:ns2="01af9fa0-a641-4ce8-babf-d6d527220dcd" xmlns:ns3="4ebf2230-6fdc-4eb0-8f23-9af151be2bf6" targetNamespace="http://schemas.microsoft.com/office/2006/metadata/properties" ma:root="true" ma:fieldsID="1bd2cd52c6f8e089a87c0f44fd3e2e22" ns2:_="" ns3:_="">
    <xsd:import namespace="01af9fa0-a641-4ce8-babf-d6d527220dcd"/>
    <xsd:import namespace="4ebf2230-6fdc-4eb0-8f23-9af151be2b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f9fa0-a641-4ce8-babf-d6d527220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806f3cfd-5b8b-41d1-a8c0-a3c1c084574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bf2230-6fdc-4eb0-8f23-9af151be2bf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0764b5-445d-493e-ba0d-802ae545e32c}" ma:internalName="TaxCatchAll" ma:showField="CatchAllData" ma:web="4ebf2230-6fdc-4eb0-8f23-9af151be2b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af9fa0-a641-4ce8-babf-d6d527220dcd">
      <Terms xmlns="http://schemas.microsoft.com/office/infopath/2007/PartnerControls"/>
    </lcf76f155ced4ddcb4097134ff3c332f>
    <TaxCatchAll xmlns="4ebf2230-6fdc-4eb0-8f23-9af151be2bf6"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7AE6117-5F4C-41A1-9761-E85B4186C18B}"/>
</file>

<file path=customXml/itemProps3.xml><?xml version="1.0" encoding="utf-8"?>
<ds:datastoreItem xmlns:ds="http://schemas.openxmlformats.org/officeDocument/2006/customXml" ds:itemID="{3C2F8DCE-48E3-45DE-9282-9BC9F52317D9}"/>
</file>

<file path=customXml/itemProps4.xml><?xml version="1.0" encoding="utf-8"?>
<ds:datastoreItem xmlns:ds="http://schemas.openxmlformats.org/officeDocument/2006/customXml" ds:itemID="{E9CAA0D6-B79F-415A-AD2E-7D94C9D4C27B}"/>
</file>

<file path=docProps/app.xml><?xml version="1.0" encoding="utf-8"?>
<Properties xmlns="http://schemas.openxmlformats.org/officeDocument/2006/extended-properties" xmlns:vt="http://schemas.openxmlformats.org/officeDocument/2006/docPropsVTypes">
  <Template>Normal</Template>
  <TotalTime>40</TotalTime>
  <Pages>2</Pages>
  <Words>335</Words>
  <Characters>2010</Characters>
  <Application>Microsoft Office Word</Application>
  <DocSecurity>0</DocSecurity>
  <Lines>16</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Katarzyna Lobacz</cp:lastModifiedBy>
  <cp:revision>19</cp:revision>
  <dcterms:created xsi:type="dcterms:W3CDTF">2025-09-07T14:19:00Z</dcterms:created>
  <dcterms:modified xsi:type="dcterms:W3CDTF">2026-06-27T12:45:00Z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a4efd78c-28ee-42ec-9113-df3622eaebea</vt:lpwstr>
  </property>
  <property fmtid="{D5CDD505-2E9C-101B-9397-08002B2CF9AE}" pid="3" name="ContentTypeId">
    <vt:lpwstr>0x0101009B92712FCC7E824DAF43E355A1479632</vt:lpwstr>
  </property>
</Properties>
</file>